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15B042C" w14:textId="77777777" w:rsidTr="0041512A">
        <w:tc>
          <w:tcPr>
            <w:tcW w:w="2263" w:type="dxa"/>
          </w:tcPr>
          <w:p w14:paraId="3058E590" w14:textId="65117F02" w:rsidR="0041512A" w:rsidRDefault="00353C54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5D6BA42C" w14:textId="77777777" w:rsidR="0041512A" w:rsidRPr="00F850A2" w:rsidRDefault="00BE0265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Florovivaistica</w:t>
            </w:r>
          </w:p>
        </w:tc>
        <w:tc>
          <w:tcPr>
            <w:tcW w:w="1979" w:type="dxa"/>
          </w:tcPr>
          <w:p w14:paraId="0586042E" w14:textId="65A8CEE2" w:rsidR="0041512A" w:rsidRPr="0041512A" w:rsidRDefault="003B7B08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B91DD36" w14:textId="77777777" w:rsidTr="0041512A">
        <w:tc>
          <w:tcPr>
            <w:tcW w:w="9629" w:type="dxa"/>
            <w:gridSpan w:val="3"/>
          </w:tcPr>
          <w:p w14:paraId="1BBBCCF3" w14:textId="77777777" w:rsidR="00F33A15" w:rsidRPr="00BE0265" w:rsidRDefault="00BE0265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BE0265">
              <w:rPr>
                <w:rStyle w:val="Collegamentoipertestuale"/>
                <w:b/>
                <w:color w:val="C00000"/>
                <w:u w:val="none"/>
              </w:rPr>
              <w:t>Florovivaistica</w:t>
            </w:r>
          </w:p>
          <w:p w14:paraId="0EB24C44" w14:textId="77777777" w:rsidR="00BE0265" w:rsidRPr="00BE0265" w:rsidRDefault="00BE0265" w:rsidP="00BE026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E0265">
              <w:rPr>
                <w:color w:val="auto"/>
                <w:sz w:val="20"/>
                <w:szCs w:val="20"/>
                <w:u w:val="none"/>
              </w:rPr>
              <w:t xml:space="preserve">Con il termine </w:t>
            </w:r>
            <w:r w:rsidRPr="00BE0265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“florovivaismo” </w:t>
            </w:r>
            <w:r w:rsidRPr="00BE0265">
              <w:rPr>
                <w:color w:val="auto"/>
                <w:sz w:val="20"/>
                <w:szCs w:val="20"/>
                <w:u w:val="none"/>
              </w:rPr>
              <w:t>si intende quel settore dell’attività agricola al quale appartengono 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produttori di fiori da recidere e di fogliame ornamentale, di bulbi e di piante (in vaso per interni, da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balcone e da esterno), comprese le frutticole, le orticole e le forestali.</w:t>
            </w:r>
          </w:p>
          <w:p w14:paraId="69247E57" w14:textId="77777777" w:rsidR="00BE0265" w:rsidRPr="00BE0265" w:rsidRDefault="00BE0265" w:rsidP="00BE026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E0265">
              <w:rPr>
                <w:color w:val="auto"/>
                <w:sz w:val="20"/>
                <w:szCs w:val="20"/>
                <w:u w:val="none"/>
              </w:rPr>
              <w:t>Di solito si usa distinguere l’attività di floricoltura (o arte di coltivare i fiori) dall’attività di vivaismo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(orientata alla produzione di piante).</w:t>
            </w:r>
          </w:p>
          <w:p w14:paraId="380FC98D" w14:textId="77777777" w:rsidR="00BE0265" w:rsidRPr="00BE0265" w:rsidRDefault="00BE0265" w:rsidP="00BE026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E0265">
              <w:rPr>
                <w:color w:val="auto"/>
                <w:sz w:val="20"/>
                <w:szCs w:val="20"/>
                <w:u w:val="none"/>
              </w:rPr>
              <w:t>È importante chiarire che solo se i prodotti sono piantati e coltivati dall’imprenditore si può parlare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attività agricola florovivaistica, per svolgere la quale sono essenziali sia un impegno non indifferente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in termini di tempo, necessario a far crescere e successivamente vendere i prodotti florovivaistici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ottenuti, sia un certo investimento in attrezzature necessarie; naturalmente serve anche possedere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specifiche competenze tecnico-professionali. Se invece le piante e i fiori vengono acquistati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all’ingrosso, da aziende produttrici, per essere poi rivenduti al cliente finale, si tratta di 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commerciale.</w:t>
            </w:r>
          </w:p>
          <w:p w14:paraId="50B404A2" w14:textId="77777777" w:rsidR="00BE0265" w:rsidRDefault="00BE0265" w:rsidP="00BE026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E0265">
              <w:rPr>
                <w:color w:val="auto"/>
                <w:sz w:val="20"/>
                <w:szCs w:val="20"/>
                <w:u w:val="none"/>
              </w:rPr>
              <w:t>Sebbene oggi gli imprenditori che abbinano all’attività di produzione agricola l’attività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commercializzazione alla clientela non solo di piante e fiori, ma anche di prodotti per il giardinaggio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e l’hobbistica (es. sementi, bulbi, terricci, concimi, utensili, vasi, arredamento per esterni, ecc.) siano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molti (si pensi alla diffusione dei “garden center”), bisogna ricordare che per rimanere agricola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l’attività di produzione di prodotti florovivaistici deve comunque essere prevalente rispetto all’attività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E0265">
              <w:rPr>
                <w:color w:val="auto"/>
                <w:sz w:val="20"/>
                <w:szCs w:val="20"/>
                <w:u w:val="none"/>
              </w:rPr>
              <w:t>commerciale.</w:t>
            </w:r>
          </w:p>
          <w:p w14:paraId="25228F99" w14:textId="77777777" w:rsidR="00BE0265" w:rsidRDefault="00BE0265" w:rsidP="00BE0265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4241A07F" w14:textId="77777777" w:rsidR="000C5028" w:rsidRPr="00AB4C12" w:rsidRDefault="000C5028" w:rsidP="000C5028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786CEF4" w14:textId="404834D3" w:rsidR="00CE096F" w:rsidRPr="007B75AA" w:rsidRDefault="00CE096F" w:rsidP="00CE096F">
            <w:pPr>
              <w:pStyle w:val="Paragrafoelenco"/>
              <w:numPr>
                <w:ilvl w:val="0"/>
                <w:numId w:val="23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B7B08">
              <w:rPr>
                <w:b/>
                <w:sz w:val="24"/>
                <w:szCs w:val="24"/>
              </w:rPr>
              <w:instrText>HYPERLINK "../../PROGRAMMAZIONE/AREE.docx"</w:instrText>
            </w:r>
            <w:r w:rsidR="003B7B08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Programmazione economica-co</w:t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m</w:t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merciale del PGT</w:t>
            </w:r>
          </w:p>
          <w:p w14:paraId="077800A8" w14:textId="69BE4AAB" w:rsidR="000C5028" w:rsidRPr="0031611B" w:rsidRDefault="00CE096F" w:rsidP="00CE096F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348999D8" w14:textId="4D38C477" w:rsidR="001A0983" w:rsidRPr="001A0983" w:rsidRDefault="003B7B08" w:rsidP="00875F08">
            <w:pPr>
              <w:pStyle w:val="Paragrafoelenco"/>
              <w:numPr>
                <w:ilvl w:val="0"/>
                <w:numId w:val="23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</w:rPr>
            </w:pPr>
            <w:hyperlink r:id="rId6" w:history="1">
              <w:r w:rsidR="001A0983" w:rsidRPr="001A0983">
                <w:rPr>
                  <w:rStyle w:val="Collegamentoipertestuale"/>
                  <w:b/>
                  <w:bCs/>
                  <w:sz w:val="24"/>
                  <w:szCs w:val="24"/>
                </w:rPr>
                <w:t>Requisiti di onorabilità</w:t>
              </w:r>
            </w:hyperlink>
          </w:p>
          <w:p w14:paraId="1DDFC49E" w14:textId="77777777" w:rsidR="001A0983" w:rsidRPr="001A0983" w:rsidRDefault="001A0983" w:rsidP="001A0983">
            <w:pPr>
              <w:pStyle w:val="Paragrafoelenco"/>
              <w:rPr>
                <w:sz w:val="12"/>
                <w:szCs w:val="12"/>
              </w:rPr>
            </w:pPr>
          </w:p>
          <w:p w14:paraId="1DD7D650" w14:textId="629B59D1" w:rsidR="000C5028" w:rsidRPr="001A0983" w:rsidRDefault="001A0983" w:rsidP="00875F08">
            <w:pPr>
              <w:pStyle w:val="Paragrafoelenco"/>
              <w:numPr>
                <w:ilvl w:val="0"/>
                <w:numId w:val="23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"Definizioni/32AG%20Requisiti%20professionali%20florovivaista.pdf"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5028" w:rsidRPr="001A0983">
              <w:rPr>
                <w:rStyle w:val="Collegamentoipertestuale"/>
                <w:b/>
                <w:sz w:val="24"/>
                <w:szCs w:val="24"/>
              </w:rPr>
              <w:t xml:space="preserve">Requisiti professionali </w:t>
            </w:r>
          </w:p>
          <w:p w14:paraId="7C457F18" w14:textId="5A181785" w:rsidR="000C5028" w:rsidRPr="00F73D96" w:rsidRDefault="001A0983" w:rsidP="000C5028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129B93A" w14:textId="5F6BA2D9" w:rsidR="000C5028" w:rsidRPr="00875F08" w:rsidRDefault="000C5028" w:rsidP="00875F08">
            <w:pPr>
              <w:pStyle w:val="Paragrafoelenco"/>
              <w:numPr>
                <w:ilvl w:val="0"/>
                <w:numId w:val="23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A0983">
              <w:rPr>
                <w:b/>
                <w:bCs/>
                <w:sz w:val="24"/>
                <w:szCs w:val="24"/>
              </w:rPr>
              <w:instrText>HYPERLINK "Definizioni/33AG%20Requisiti%20oggettivi%20florovivai.pdf"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5F08" w:rsidRPr="00875F08">
              <w:rPr>
                <w:rStyle w:val="Collegamentoipertestuale"/>
                <w:b/>
                <w:bCs/>
                <w:sz w:val="24"/>
                <w:szCs w:val="24"/>
              </w:rPr>
              <w:t>Requisiti oggettivi</w:t>
            </w:r>
          </w:p>
          <w:p w14:paraId="08B3A324" w14:textId="77777777" w:rsidR="000C5028" w:rsidRPr="0031611B" w:rsidRDefault="000C5028" w:rsidP="000C5028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89A2F1E" w14:textId="7CEC53CE" w:rsidR="00875F08" w:rsidRPr="00875F08" w:rsidRDefault="00875F08" w:rsidP="00875F08">
            <w:pPr>
              <w:pStyle w:val="Paragrafoelenco"/>
              <w:numPr>
                <w:ilvl w:val="0"/>
                <w:numId w:val="23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begin"/>
            </w:r>
            <w:r w:rsidR="001A0983">
              <w:rPr>
                <w:b/>
                <w:color w:val="0000FF"/>
                <w:sz w:val="24"/>
                <w:szCs w:val="24"/>
              </w:rPr>
              <w:instrText>HYPERLINK "Definizioni/23AG%20Vendita%20diretta%20presso%20la%20propria%20azienda.pdf"</w:instrText>
            </w:r>
            <w:r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875F08">
              <w:rPr>
                <w:rStyle w:val="Collegamentoipertestuale"/>
                <w:b/>
                <w:sz w:val="24"/>
                <w:szCs w:val="24"/>
              </w:rPr>
              <w:t>Vendita diretta prodotti</w:t>
            </w:r>
          </w:p>
          <w:p w14:paraId="4337C7E5" w14:textId="59B0EE81" w:rsidR="00875F08" w:rsidRPr="00875F08" w:rsidRDefault="00875F08" w:rsidP="00875F08">
            <w:pPr>
              <w:pStyle w:val="Paragrafoelenco"/>
              <w:ind w:left="524" w:right="170"/>
              <w:jc w:val="both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  <w:r>
              <w:rPr>
                <w:b/>
                <w:color w:val="0000FF"/>
                <w:sz w:val="24"/>
                <w:szCs w:val="24"/>
              </w:rPr>
              <w:fldChar w:fldCharType="end"/>
            </w:r>
          </w:p>
          <w:p w14:paraId="2C5CE7CA" w14:textId="77777777" w:rsidR="00CE096F" w:rsidRPr="00F73D96" w:rsidRDefault="00CE096F" w:rsidP="00631A16">
            <w:pPr>
              <w:pStyle w:val="Paragrafoelenco"/>
              <w:numPr>
                <w:ilvl w:val="0"/>
                <w:numId w:val="23"/>
              </w:numPr>
              <w:spacing w:line="259" w:lineRule="auto"/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9000C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da allegare alla SCIA o Istanza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7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7B43B44E" w14:textId="635AC5A3" w:rsidR="00E77787" w:rsidRDefault="00E77787" w:rsidP="00D742B8">
            <w:pPr>
              <w:ind w:left="164"/>
              <w:rPr>
                <w:b/>
                <w:color w:val="C00000"/>
                <w:sz w:val="24"/>
                <w:szCs w:val="24"/>
              </w:rPr>
            </w:pPr>
          </w:p>
          <w:p w14:paraId="6F690D6B" w14:textId="77777777" w:rsidR="00485347" w:rsidRPr="00631A16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631A16">
              <w:rPr>
                <w:b/>
                <w:color w:val="C00000"/>
              </w:rPr>
              <w:fldChar w:fldCharType="begin"/>
            </w:r>
            <w:r w:rsidR="00FC57A4" w:rsidRPr="00631A16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631A16">
              <w:rPr>
                <w:b/>
                <w:color w:val="C00000"/>
              </w:rPr>
              <w:fldChar w:fldCharType="separate"/>
            </w:r>
            <w:r w:rsidRPr="00631A1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C34B018" w14:textId="29FEBD87" w:rsidR="00D742B8" w:rsidRPr="00D742B8" w:rsidRDefault="00485347" w:rsidP="00D742B8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631A16">
              <w:rPr>
                <w:b/>
                <w:color w:val="C00000"/>
              </w:rPr>
              <w:fldChar w:fldCharType="end"/>
            </w:r>
            <w:r w:rsidR="00D742B8" w:rsidRPr="00875F08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l’attività florovivaistica</w:t>
            </w:r>
            <w:r w:rsidR="00D742B8" w:rsidRPr="00875F08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D742B8" w:rsidRPr="00D742B8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presentare al SUAP una SCIA Condizionata da inoltrare al</w:t>
            </w:r>
            <w:r w:rsidR="00D742B8" w:rsidRPr="00D742B8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8" w:history="1">
              <w:hyperlink r:id="rId9" w:history="1">
                <w:r w:rsidR="00AA44B0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D742B8" w:rsidRPr="00D742B8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="00D742B8" w:rsidRPr="00D742B8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C5443AF" w14:textId="75B288F9" w:rsidR="00D742B8" w:rsidRPr="00D742B8" w:rsidRDefault="00D742B8" w:rsidP="001C7378">
            <w:pPr>
              <w:spacing w:before="30" w:after="240"/>
              <w:ind w:left="164" w:right="312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D742B8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D742B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Agricoltura, allevamento, pesca e attività estrattive </w:t>
            </w:r>
            <w:r w:rsidR="001C7378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D742B8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971E2E">
              <w:rPr>
                <w:b/>
                <w:color w:val="auto"/>
                <w:sz w:val="20"/>
                <w:szCs w:val="20"/>
                <w:u w:val="none"/>
              </w:rPr>
              <w:t xml:space="preserve">Riproduzione piante + </w:t>
            </w:r>
            <w:r w:rsidRPr="00D742B8">
              <w:rPr>
                <w:b/>
                <w:bCs/>
                <w:color w:val="auto"/>
                <w:sz w:val="20"/>
                <w:szCs w:val="20"/>
                <w:u w:val="none"/>
              </w:rPr>
              <w:t>Attività florovivaistica</w:t>
            </w:r>
            <w:r w:rsidRPr="00D742B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, </w:t>
            </w:r>
            <w:r w:rsidRPr="00D742B8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D742B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971E2E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D742B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742B8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D742B8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D742B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D742B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</w:t>
            </w:r>
            <w:r w:rsidR="00971E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 gestione, cessazione attività</w:t>
            </w:r>
            <w:r w:rsidRPr="00D742B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+ </w:t>
            </w:r>
            <w:r w:rsidRPr="00D742B8">
              <w:rPr>
                <w:b/>
                <w:bCs/>
                <w:color w:val="auto"/>
                <w:sz w:val="20"/>
                <w:szCs w:val="20"/>
                <w:u w:val="none"/>
              </w:rPr>
              <w:t>Domanda di rilascio dell'autorizzazione regionale per la produzione e il commercio di vegetali</w:t>
            </w:r>
          </w:p>
          <w:p w14:paraId="2891C9F7" w14:textId="77777777" w:rsidR="001C7378" w:rsidRDefault="001C7378" w:rsidP="001C7378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BFDCE43" w14:textId="77777777" w:rsidR="001C7378" w:rsidRPr="0056509F" w:rsidRDefault="001C7378" w:rsidP="001C7378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0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2DECFC2" w14:textId="77777777" w:rsidR="001C7378" w:rsidRDefault="001C7378" w:rsidP="001C7378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48D52336" w14:textId="77777777" w:rsidR="001C7378" w:rsidRPr="00FF1762" w:rsidRDefault="001C7378" w:rsidP="001C7378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7D5D99F2" w14:textId="199765C2" w:rsidR="00CA4048" w:rsidRPr="00CA4048" w:rsidRDefault="003B7B08" w:rsidP="001C7378">
            <w:pPr>
              <w:ind w:left="164" w:right="312"/>
              <w:jc w:val="both"/>
              <w:rPr>
                <w:b/>
                <w:bCs/>
              </w:rPr>
            </w:pPr>
            <w:hyperlink r:id="rId12" w:history="1">
              <w:r w:rsidR="00CA4048" w:rsidRPr="00CA4048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26CAEBF3" w14:textId="77777777" w:rsidR="00CA4048" w:rsidRDefault="00CA4048" w:rsidP="001C7378">
            <w:pPr>
              <w:ind w:left="164" w:right="312"/>
              <w:jc w:val="both"/>
            </w:pPr>
          </w:p>
          <w:p w14:paraId="33B4B160" w14:textId="5BD2721E" w:rsidR="001C7378" w:rsidRPr="00744B7C" w:rsidRDefault="003B7B08" w:rsidP="001C737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1C7378" w:rsidRPr="00631A16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  <w:r w:rsidR="001C7378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1C7378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1C737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1C737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1C737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1C7378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1C737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360572C9" w14:textId="215B3378" w:rsidR="001C7378" w:rsidRDefault="001C7378" w:rsidP="001C737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2D2485A" w14:textId="6E87CA41" w:rsidR="00CA4048" w:rsidRDefault="00CA4048" w:rsidP="001C737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</w:rPr>
            </w:pPr>
          </w:p>
          <w:p w14:paraId="6A672369" w14:textId="77777777" w:rsidR="00CA4048" w:rsidRDefault="00CA4048" w:rsidP="001C737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A116ABB" w14:textId="17DEA9ED" w:rsidR="001C7378" w:rsidRPr="00A960D3" w:rsidRDefault="001C7378" w:rsidP="001C737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CA4048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</w:t>
            </w:r>
            <w:r w:rsidRPr="00A960D3">
              <w:rPr>
                <w:rStyle w:val="Collegamentoipertestuale"/>
                <w:b/>
                <w:bCs/>
              </w:rPr>
              <w:t>o</w:t>
            </w:r>
            <w:r w:rsidRPr="00A960D3">
              <w:rPr>
                <w:rStyle w:val="Collegamentoipertestuale"/>
                <w:b/>
                <w:bCs/>
              </w:rPr>
              <w:t>ri</w:t>
            </w:r>
          </w:p>
          <w:p w14:paraId="59383603" w14:textId="77777777" w:rsidR="001C7378" w:rsidRDefault="001C7378" w:rsidP="001C7378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C7D0620" w14:textId="77777777" w:rsidR="001C7378" w:rsidRPr="00945B26" w:rsidRDefault="001C7378" w:rsidP="001C7378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4360EF30" w14:textId="2999ED19" w:rsidR="001C7378" w:rsidRPr="00BC2691" w:rsidRDefault="003B7B08" w:rsidP="001C7378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4" w:history="1">
              <w:r w:rsidR="001C7378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78C4DE0C" w14:textId="77777777" w:rsidR="001C7378" w:rsidRDefault="001C7378" w:rsidP="001C7378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1A6FF5B" w14:textId="7E5938BD" w:rsidR="00110850" w:rsidRPr="00631A16" w:rsidRDefault="001C7378" w:rsidP="00110850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110850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631A16">
              <w:rPr>
                <w:b/>
                <w:sz w:val="20"/>
                <w:szCs w:val="20"/>
              </w:rPr>
              <w:fldChar w:fldCharType="begin"/>
            </w:r>
            <w:r w:rsidR="00631A16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631A16">
              <w:rPr>
                <w:b/>
                <w:sz w:val="20"/>
                <w:szCs w:val="20"/>
              </w:rPr>
              <w:fldChar w:fldCharType="separate"/>
            </w:r>
            <w:r w:rsidR="00110850" w:rsidRPr="00631A16">
              <w:rPr>
                <w:rStyle w:val="Collegamentoipertestuale"/>
                <w:b/>
                <w:sz w:val="20"/>
                <w:szCs w:val="20"/>
              </w:rPr>
              <w:t>Parte 8^ del TUR</w:t>
            </w:r>
          </w:p>
          <w:p w14:paraId="2EE639D6" w14:textId="1A5512AC" w:rsidR="00110850" w:rsidRDefault="00631A16" w:rsidP="001C7378">
            <w:pPr>
              <w:spacing w:line="270" w:lineRule="atLeast"/>
              <w:ind w:left="164"/>
              <w:jc w:val="both"/>
              <w:rPr>
                <w:b/>
                <w:color w:val="C0000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77C1D49B" w14:textId="30685DE0" w:rsidR="000C5028" w:rsidRPr="0029054C" w:rsidRDefault="001C7378" w:rsidP="001C7378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color w:val="000099"/>
                <w:sz w:val="20"/>
                <w:szCs w:val="20"/>
                <w:u w:val="none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5" w:history="1">
              <w:proofErr w:type="spellStart"/>
              <w:r w:rsidR="000C5028" w:rsidRPr="00CA404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D.d.u.o</w:t>
              </w:r>
              <w:proofErr w:type="spellEnd"/>
              <w:r w:rsidR="000C5028" w:rsidRPr="00CA404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. 7 agosto 2012 - n. 7190</w:t>
              </w:r>
            </w:hyperlink>
          </w:p>
          <w:p w14:paraId="1240A688" w14:textId="62064481" w:rsidR="00EA785A" w:rsidRDefault="00EA785A" w:rsidP="00D742B8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5541777D" w14:textId="77777777" w:rsidR="00D742B8" w:rsidRPr="00485347" w:rsidRDefault="00D742B8" w:rsidP="00D742B8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35E0428D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C50EE"/>
    <w:multiLevelType w:val="hybridMultilevel"/>
    <w:tmpl w:val="CAD04910"/>
    <w:lvl w:ilvl="0" w:tplc="86E2F31E">
      <w:start w:val="3"/>
      <w:numFmt w:val="decimal"/>
      <w:lvlText w:val="%1."/>
      <w:lvlJc w:val="left"/>
      <w:pPr>
        <w:ind w:left="88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694A"/>
    <w:multiLevelType w:val="hybridMultilevel"/>
    <w:tmpl w:val="9676CBE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873F3"/>
    <w:multiLevelType w:val="hybridMultilevel"/>
    <w:tmpl w:val="7636629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2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9"/>
  </w:num>
  <w:num w:numId="5">
    <w:abstractNumId w:val="2"/>
  </w:num>
  <w:num w:numId="6">
    <w:abstractNumId w:val="16"/>
  </w:num>
  <w:num w:numId="7">
    <w:abstractNumId w:val="6"/>
  </w:num>
  <w:num w:numId="8">
    <w:abstractNumId w:val="20"/>
  </w:num>
  <w:num w:numId="9">
    <w:abstractNumId w:val="14"/>
  </w:num>
  <w:num w:numId="10">
    <w:abstractNumId w:val="8"/>
  </w:num>
  <w:num w:numId="11">
    <w:abstractNumId w:val="3"/>
  </w:num>
  <w:num w:numId="12">
    <w:abstractNumId w:val="0"/>
  </w:num>
  <w:num w:numId="13">
    <w:abstractNumId w:val="18"/>
  </w:num>
  <w:num w:numId="14">
    <w:abstractNumId w:val="1"/>
  </w:num>
  <w:num w:numId="15">
    <w:abstractNumId w:val="17"/>
  </w:num>
  <w:num w:numId="16">
    <w:abstractNumId w:val="9"/>
  </w:num>
  <w:num w:numId="17">
    <w:abstractNumId w:val="22"/>
  </w:num>
  <w:num w:numId="18">
    <w:abstractNumId w:val="5"/>
  </w:num>
  <w:num w:numId="19">
    <w:abstractNumId w:val="13"/>
  </w:num>
  <w:num w:numId="20">
    <w:abstractNumId w:val="11"/>
  </w:num>
  <w:num w:numId="21">
    <w:abstractNumId w:val="10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913A3"/>
    <w:rsid w:val="000A46C3"/>
    <w:rsid w:val="000C5028"/>
    <w:rsid w:val="000E1400"/>
    <w:rsid w:val="000E4B7E"/>
    <w:rsid w:val="000F3ADF"/>
    <w:rsid w:val="00102D25"/>
    <w:rsid w:val="00110850"/>
    <w:rsid w:val="00112873"/>
    <w:rsid w:val="00117F1E"/>
    <w:rsid w:val="00141B40"/>
    <w:rsid w:val="001564AA"/>
    <w:rsid w:val="00165A8A"/>
    <w:rsid w:val="00185A61"/>
    <w:rsid w:val="001A0983"/>
    <w:rsid w:val="001A13AC"/>
    <w:rsid w:val="001C7378"/>
    <w:rsid w:val="001D7CB3"/>
    <w:rsid w:val="002032FB"/>
    <w:rsid w:val="002173BB"/>
    <w:rsid w:val="002210DE"/>
    <w:rsid w:val="00222871"/>
    <w:rsid w:val="0023487B"/>
    <w:rsid w:val="00235E53"/>
    <w:rsid w:val="0024226A"/>
    <w:rsid w:val="00276654"/>
    <w:rsid w:val="0029054C"/>
    <w:rsid w:val="002A5D7C"/>
    <w:rsid w:val="002A6285"/>
    <w:rsid w:val="002B375D"/>
    <w:rsid w:val="002D3BB0"/>
    <w:rsid w:val="00314B03"/>
    <w:rsid w:val="00342D58"/>
    <w:rsid w:val="003528FA"/>
    <w:rsid w:val="00353C54"/>
    <w:rsid w:val="00356649"/>
    <w:rsid w:val="0036449F"/>
    <w:rsid w:val="003A4A32"/>
    <w:rsid w:val="003B66FF"/>
    <w:rsid w:val="003B7B08"/>
    <w:rsid w:val="003C5FBA"/>
    <w:rsid w:val="003E16C7"/>
    <w:rsid w:val="003E534A"/>
    <w:rsid w:val="00401DD2"/>
    <w:rsid w:val="0041512A"/>
    <w:rsid w:val="004257E1"/>
    <w:rsid w:val="0044342C"/>
    <w:rsid w:val="0045341A"/>
    <w:rsid w:val="00464806"/>
    <w:rsid w:val="004704B5"/>
    <w:rsid w:val="00485347"/>
    <w:rsid w:val="00493BD0"/>
    <w:rsid w:val="004B299B"/>
    <w:rsid w:val="004F2CAB"/>
    <w:rsid w:val="004F3CF0"/>
    <w:rsid w:val="004F59C5"/>
    <w:rsid w:val="004F667B"/>
    <w:rsid w:val="005023C4"/>
    <w:rsid w:val="00506E58"/>
    <w:rsid w:val="005615F3"/>
    <w:rsid w:val="00563374"/>
    <w:rsid w:val="005678FC"/>
    <w:rsid w:val="005930C1"/>
    <w:rsid w:val="005A7EC5"/>
    <w:rsid w:val="005B481F"/>
    <w:rsid w:val="005C68B2"/>
    <w:rsid w:val="005C720B"/>
    <w:rsid w:val="00621A5C"/>
    <w:rsid w:val="0062613B"/>
    <w:rsid w:val="00631A16"/>
    <w:rsid w:val="00635055"/>
    <w:rsid w:val="00647A10"/>
    <w:rsid w:val="00651378"/>
    <w:rsid w:val="00692827"/>
    <w:rsid w:val="006B29D2"/>
    <w:rsid w:val="006B3A13"/>
    <w:rsid w:val="006C7151"/>
    <w:rsid w:val="006D085D"/>
    <w:rsid w:val="00705665"/>
    <w:rsid w:val="00713CEA"/>
    <w:rsid w:val="0072054E"/>
    <w:rsid w:val="00722092"/>
    <w:rsid w:val="00726675"/>
    <w:rsid w:val="00737DA2"/>
    <w:rsid w:val="00746376"/>
    <w:rsid w:val="0075509D"/>
    <w:rsid w:val="00764FB5"/>
    <w:rsid w:val="0077060F"/>
    <w:rsid w:val="00781C45"/>
    <w:rsid w:val="00784027"/>
    <w:rsid w:val="00790455"/>
    <w:rsid w:val="007C0CD4"/>
    <w:rsid w:val="008162B9"/>
    <w:rsid w:val="0082478D"/>
    <w:rsid w:val="00827C5E"/>
    <w:rsid w:val="00855A1D"/>
    <w:rsid w:val="00867BB6"/>
    <w:rsid w:val="00875F08"/>
    <w:rsid w:val="00891493"/>
    <w:rsid w:val="00897F79"/>
    <w:rsid w:val="008D52EC"/>
    <w:rsid w:val="008E5666"/>
    <w:rsid w:val="00927533"/>
    <w:rsid w:val="00945B26"/>
    <w:rsid w:val="00950C7F"/>
    <w:rsid w:val="00971E2E"/>
    <w:rsid w:val="00981DC1"/>
    <w:rsid w:val="009A1ACA"/>
    <w:rsid w:val="009A4645"/>
    <w:rsid w:val="009C45B6"/>
    <w:rsid w:val="00A040D0"/>
    <w:rsid w:val="00A06B50"/>
    <w:rsid w:val="00A66A61"/>
    <w:rsid w:val="00AA44B0"/>
    <w:rsid w:val="00AA458C"/>
    <w:rsid w:val="00AB2121"/>
    <w:rsid w:val="00AE65BE"/>
    <w:rsid w:val="00B0731C"/>
    <w:rsid w:val="00B20B17"/>
    <w:rsid w:val="00B44D26"/>
    <w:rsid w:val="00B56348"/>
    <w:rsid w:val="00B66F7C"/>
    <w:rsid w:val="00BD2A11"/>
    <w:rsid w:val="00BE0265"/>
    <w:rsid w:val="00BF42AE"/>
    <w:rsid w:val="00C04406"/>
    <w:rsid w:val="00C307DA"/>
    <w:rsid w:val="00C459E8"/>
    <w:rsid w:val="00C75D34"/>
    <w:rsid w:val="00CA4048"/>
    <w:rsid w:val="00CD592E"/>
    <w:rsid w:val="00CE096F"/>
    <w:rsid w:val="00D16B5E"/>
    <w:rsid w:val="00D2242E"/>
    <w:rsid w:val="00D32B34"/>
    <w:rsid w:val="00D742B8"/>
    <w:rsid w:val="00DC5DC3"/>
    <w:rsid w:val="00DF0435"/>
    <w:rsid w:val="00E25843"/>
    <w:rsid w:val="00E660BB"/>
    <w:rsid w:val="00E72770"/>
    <w:rsid w:val="00E75639"/>
    <w:rsid w:val="00E76B1F"/>
    <w:rsid w:val="00E77787"/>
    <w:rsid w:val="00EA785A"/>
    <w:rsid w:val="00EB1403"/>
    <w:rsid w:val="00ED540E"/>
    <w:rsid w:val="00EE2771"/>
    <w:rsid w:val="00EE371A"/>
    <w:rsid w:val="00EF5170"/>
    <w:rsid w:val="00F20621"/>
    <w:rsid w:val="00F2381A"/>
    <w:rsid w:val="00F312D0"/>
    <w:rsid w:val="00F33A15"/>
    <w:rsid w:val="00F72F90"/>
    <w:rsid w:val="00F850A2"/>
    <w:rsid w:val="00FA32BD"/>
    <w:rsid w:val="00FC4962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7FEE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../../ATECO/Ateco%20Agricoltura.xlsx" TargetMode="External"/><Relationship Id="rId3" Type="http://schemas.openxmlformats.org/officeDocument/2006/relationships/settings" Target="settings.xml"/><Relationship Id="rId7" Type="http://schemas.openxmlformats.org/officeDocument/2006/relationships/hyperlink" Target="../Modulistica%20univoca/MU1%20Dichiarazione%20Componente%20PGT.pdf" TargetMode="External"/><Relationship Id="rId12" Type="http://schemas.openxmlformats.org/officeDocument/2006/relationships/hyperlink" Target="Allegati/AG11%20Florovivaisti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Definizioni/6AG%20requisiti%20morali.pdf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s://www.regione.lombardia.it/wps/wcm/connect/58e6529d-0fba-47c4-b2fb-69ca635b2ee3/decreto+proroga+dichiarazione+annuale+vivaisti+con+alleg.pdf?MOD=AJPERES&amp;CACHEID=ROOTWORKSPACE-58e6529d-0fba-47c4-b2fb-69ca635b2ee3-n4RKVEb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resainungiorno.gov.it/web/guest/comune?codCatastale=L581" TargetMode="External"/><Relationship Id="rId14" Type="http://schemas.openxmlformats.org/officeDocument/2006/relationships/hyperlink" Target="Definizioni/13AG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2018-08-06T21:42:00Z</dcterms:created>
  <dcterms:modified xsi:type="dcterms:W3CDTF">2021-05-12T09:58:00Z</dcterms:modified>
</cp:coreProperties>
</file>